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AEF5" w14:textId="3A44D734" w:rsidR="00780609" w:rsidRDefault="00780609" w:rsidP="00780609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E24C0F">
        <w:rPr>
          <w:rFonts w:ascii="黑体" w:eastAsia="黑体" w:hAnsi="黑体" w:cs="Times New Roman" w:hint="eastAsia"/>
          <w:sz w:val="32"/>
          <w:szCs w:val="32"/>
        </w:rPr>
        <w:t>附件</w:t>
      </w:r>
      <w:r w:rsidR="008D37AE">
        <w:rPr>
          <w:rFonts w:ascii="黑体" w:eastAsia="黑体" w:hAnsi="黑体" w:cs="Times New Roman"/>
          <w:sz w:val="32"/>
          <w:szCs w:val="32"/>
        </w:rPr>
        <w:t>3</w:t>
      </w:r>
      <w:r w:rsidR="00DD630C" w:rsidRPr="00E24C0F"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3E170A1C" w14:textId="77777777" w:rsidR="00E24C0F" w:rsidRPr="00E24C0F" w:rsidRDefault="00E24C0F" w:rsidP="00780609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14:paraId="67D3C72C" w14:textId="27AE4246" w:rsidR="002F729C" w:rsidRPr="00E24C0F" w:rsidRDefault="001C7CA6" w:rsidP="00780609">
      <w:pPr>
        <w:spacing w:line="540" w:lineRule="exact"/>
        <w:jc w:val="center"/>
        <w:rPr>
          <w:rFonts w:ascii="方正小标宋简体" w:eastAsia="方正小标宋简体" w:hAnsi="Times New Roman" w:cs="Times New Roman"/>
          <w:spacing w:val="-10"/>
          <w:sz w:val="44"/>
          <w:szCs w:val="44"/>
        </w:rPr>
      </w:pPr>
      <w:r w:rsidRPr="00E24C0F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201</w:t>
      </w:r>
      <w:r w:rsidR="00F50A57" w:rsidRPr="00E24C0F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9</w:t>
      </w:r>
      <w:r w:rsidR="000509F2" w:rsidRPr="00E24C0F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福建省足球协会</w:t>
      </w:r>
      <w:r w:rsidR="0096188D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甲级</w:t>
      </w:r>
      <w:r w:rsidR="000509F2" w:rsidRPr="00E24C0F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联赛赛区</w:t>
      </w:r>
      <w:r w:rsidRPr="00E24C0F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承办</w:t>
      </w:r>
      <w:r w:rsidR="00780609" w:rsidRPr="00E24C0F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要求</w:t>
      </w:r>
    </w:p>
    <w:p w14:paraId="428CC092" w14:textId="77777777" w:rsidR="0044612E" w:rsidRPr="00852C24" w:rsidRDefault="0044612E" w:rsidP="00F227CC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07EA4414" w14:textId="0D20F4F7" w:rsidR="002F729C" w:rsidRPr="00852C24" w:rsidRDefault="001C7CA6" w:rsidP="00F227CC">
      <w:pPr>
        <w:adjustRightInd w:val="0"/>
        <w:snapToGrid w:val="0"/>
        <w:spacing w:line="560" w:lineRule="exact"/>
        <w:ind w:rightChars="12" w:right="25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根据201</w:t>
      </w:r>
      <w:r w:rsidR="00F50A57" w:rsidRPr="00852C24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0509F2" w:rsidRPr="00852C24">
        <w:rPr>
          <w:rFonts w:ascii="仿宋_GB2312" w:eastAsia="仿宋_GB2312" w:hAnsi="Times New Roman" w:cs="Times New Roman" w:hint="eastAsia"/>
          <w:sz w:val="32"/>
          <w:szCs w:val="32"/>
        </w:rPr>
        <w:t>福建省足球协会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竞赛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总体计划，</w:t>
      </w:r>
      <w:r w:rsidR="000509F2" w:rsidRPr="00852C24">
        <w:rPr>
          <w:rFonts w:ascii="仿宋_GB2312" w:eastAsia="仿宋_GB2312" w:hAnsi="Times New Roman" w:cs="Times New Roman" w:hint="eastAsia"/>
          <w:sz w:val="32"/>
          <w:szCs w:val="32"/>
        </w:rPr>
        <w:t>2019福建省足球协会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甲级</w:t>
      </w:r>
      <w:r w:rsidR="000509F2" w:rsidRPr="00852C24">
        <w:rPr>
          <w:rFonts w:ascii="仿宋_GB2312" w:eastAsia="仿宋_GB2312" w:hAnsi="Times New Roman" w:cs="Times New Roman" w:hint="eastAsia"/>
          <w:sz w:val="32"/>
          <w:szCs w:val="32"/>
        </w:rPr>
        <w:t>联赛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将于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6188D">
        <w:rPr>
          <w:rFonts w:ascii="仿宋_GB2312" w:eastAsia="仿宋_GB2312" w:hAnsi="Times New Roman" w:cs="Times New Roman"/>
          <w:sz w:val="32"/>
          <w:szCs w:val="32"/>
        </w:rPr>
        <w:t>019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年1</w:t>
      </w:r>
      <w:r w:rsidR="0096188D">
        <w:rPr>
          <w:rFonts w:ascii="仿宋_GB2312" w:eastAsia="仿宋_GB2312" w:hAnsi="Times New Roman" w:cs="Times New Roman"/>
          <w:sz w:val="32"/>
          <w:szCs w:val="32"/>
        </w:rPr>
        <w:t>2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月至</w:t>
      </w:r>
      <w:r w:rsidR="0096188D">
        <w:rPr>
          <w:rFonts w:ascii="仿宋_GB2312" w:eastAsia="仿宋_GB2312" w:hAnsi="Times New Roman" w:cs="Times New Roman"/>
          <w:sz w:val="32"/>
          <w:szCs w:val="32"/>
        </w:rPr>
        <w:t>2020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年4月期间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进行。为</w:t>
      </w:r>
      <w:r w:rsidR="000509F2" w:rsidRPr="00852C24">
        <w:rPr>
          <w:rFonts w:ascii="仿宋_GB2312" w:eastAsia="仿宋_GB2312" w:hAnsi="Times New Roman" w:cs="Times New Roman" w:hint="eastAsia"/>
          <w:sz w:val="32"/>
          <w:szCs w:val="32"/>
        </w:rPr>
        <w:t>进一步</w:t>
      </w:r>
      <w:r w:rsidR="005E03C8" w:rsidRPr="00852C24">
        <w:rPr>
          <w:rFonts w:ascii="仿宋_GB2312" w:eastAsia="仿宋_GB2312" w:hAnsi="Times New Roman" w:cs="Times New Roman" w:hint="eastAsia"/>
          <w:sz w:val="32"/>
          <w:szCs w:val="32"/>
        </w:rPr>
        <w:t>推广足球运动</w:t>
      </w:r>
      <w:r w:rsidR="000509F2" w:rsidRPr="00852C24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5E03C8" w:rsidRPr="00852C24">
        <w:rPr>
          <w:rFonts w:ascii="仿宋_GB2312" w:eastAsia="仿宋_GB2312" w:hAnsi="Times New Roman" w:cs="Times New Roman" w:hint="eastAsia"/>
          <w:sz w:val="32"/>
          <w:szCs w:val="32"/>
        </w:rPr>
        <w:t>培养大众足球兴趣，形成</w:t>
      </w:r>
      <w:r w:rsidR="00DE414C">
        <w:rPr>
          <w:rFonts w:ascii="仿宋_GB2312" w:eastAsia="仿宋_GB2312" w:hAnsi="Times New Roman" w:cs="Times New Roman" w:hint="eastAsia"/>
          <w:sz w:val="32"/>
          <w:szCs w:val="32"/>
        </w:rPr>
        <w:t>全省</w:t>
      </w:r>
      <w:r w:rsidR="005E03C8" w:rsidRPr="00852C24">
        <w:rPr>
          <w:rFonts w:ascii="仿宋_GB2312" w:eastAsia="仿宋_GB2312" w:hAnsi="Times New Roman" w:cs="Times New Roman" w:hint="eastAsia"/>
          <w:sz w:val="32"/>
          <w:szCs w:val="32"/>
        </w:rPr>
        <w:t>积极支持足球运动发展的氛围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E03C8" w:rsidRPr="00852C24">
        <w:rPr>
          <w:rFonts w:ascii="仿宋_GB2312" w:eastAsia="仿宋_GB2312" w:hAnsi="Times New Roman" w:cs="Times New Roman" w:hint="eastAsia"/>
          <w:sz w:val="32"/>
          <w:szCs w:val="32"/>
        </w:rPr>
        <w:t>2019福建省足球协会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甲级</w:t>
      </w:r>
      <w:r w:rsidR="005E03C8" w:rsidRPr="00852C24">
        <w:rPr>
          <w:rFonts w:ascii="仿宋_GB2312" w:eastAsia="仿宋_GB2312" w:hAnsi="Times New Roman" w:cs="Times New Roman" w:hint="eastAsia"/>
          <w:sz w:val="32"/>
          <w:szCs w:val="32"/>
        </w:rPr>
        <w:t>联赛拟向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5E03C8" w:rsidRPr="00852C24">
        <w:rPr>
          <w:rFonts w:ascii="仿宋_GB2312" w:eastAsia="仿宋_GB2312" w:hAnsi="Times New Roman" w:cs="Times New Roman" w:hint="eastAsia"/>
          <w:sz w:val="32"/>
          <w:szCs w:val="32"/>
        </w:rPr>
        <w:t>参赛球队所在地市、县区足球协会开放分赛区承办申请，对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相关赛事承</w:t>
      </w:r>
      <w:r w:rsidR="00500B55" w:rsidRPr="00852C24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要求如下：</w:t>
      </w:r>
    </w:p>
    <w:p w14:paraId="41426DDC" w14:textId="77777777" w:rsidR="002F729C" w:rsidRPr="00852C24" w:rsidRDefault="001C7CA6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黑体" w:eastAsia="黑体" w:hAnsi="黑体" w:cs="Times New Roman"/>
          <w:sz w:val="32"/>
          <w:szCs w:val="32"/>
        </w:rPr>
      </w:pPr>
      <w:r w:rsidRPr="00852C24">
        <w:rPr>
          <w:rFonts w:ascii="黑体" w:eastAsia="黑体" w:hAnsi="黑体" w:cs="Times New Roman" w:hint="eastAsia"/>
          <w:sz w:val="32"/>
          <w:szCs w:val="32"/>
        </w:rPr>
        <w:t>一、比赛时间</w:t>
      </w:r>
    </w:p>
    <w:p w14:paraId="2C7D6C69" w14:textId="3F704ACD" w:rsidR="002F729C" w:rsidRPr="00852C24" w:rsidRDefault="0096188D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年1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月至</w:t>
      </w:r>
      <w:r>
        <w:rPr>
          <w:rFonts w:ascii="仿宋_GB2312" w:eastAsia="仿宋_GB2312" w:hAnsi="Times New Roman" w:cs="Times New Roman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年4月</w:t>
      </w:r>
      <w:r w:rsidR="00F94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62B4C9AA" w14:textId="183C1A62" w:rsidR="002F729C" w:rsidRPr="00852C24" w:rsidRDefault="001C7CA6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黑体" w:eastAsia="黑体" w:hAnsi="黑体" w:cs="Times New Roman"/>
          <w:sz w:val="32"/>
          <w:szCs w:val="32"/>
        </w:rPr>
      </w:pPr>
      <w:r w:rsidRPr="00852C24">
        <w:rPr>
          <w:rFonts w:ascii="黑体" w:eastAsia="黑体" w:hAnsi="黑体" w:cs="Times New Roman" w:hint="eastAsia"/>
          <w:sz w:val="32"/>
          <w:szCs w:val="32"/>
        </w:rPr>
        <w:t>二、</w:t>
      </w:r>
      <w:r w:rsidR="00F227CC">
        <w:rPr>
          <w:rFonts w:ascii="黑体" w:eastAsia="黑体" w:hAnsi="黑体" w:cs="Times New Roman" w:hint="eastAsia"/>
          <w:sz w:val="32"/>
          <w:szCs w:val="32"/>
        </w:rPr>
        <w:t>申办</w:t>
      </w:r>
      <w:r w:rsidRPr="00852C24">
        <w:rPr>
          <w:rFonts w:ascii="黑体" w:eastAsia="黑体" w:hAnsi="黑体" w:cs="Times New Roman" w:hint="eastAsia"/>
          <w:sz w:val="32"/>
          <w:szCs w:val="32"/>
        </w:rPr>
        <w:t>赛区</w:t>
      </w:r>
    </w:p>
    <w:p w14:paraId="4CA97093" w14:textId="357D8B68" w:rsidR="002F729C" w:rsidRPr="00852C24" w:rsidRDefault="0096188D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各参赛队所在地市、县区</w:t>
      </w:r>
      <w:r w:rsidR="00134AB2" w:rsidRPr="00852C24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05794DA5" w14:textId="753F8AEB" w:rsidR="00B02B60" w:rsidRPr="00852C24" w:rsidRDefault="00B02B60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黑体" w:eastAsia="黑体" w:hAnsi="黑体" w:cs="Times New Roman"/>
          <w:sz w:val="32"/>
          <w:szCs w:val="32"/>
        </w:rPr>
      </w:pPr>
      <w:r w:rsidRPr="00852C24">
        <w:rPr>
          <w:rFonts w:ascii="黑体" w:eastAsia="黑体" w:hAnsi="黑体" w:cs="Times New Roman" w:hint="eastAsia"/>
          <w:sz w:val="32"/>
          <w:szCs w:val="32"/>
        </w:rPr>
        <w:t>三、承办轮次</w:t>
      </w:r>
    </w:p>
    <w:p w14:paraId="21C14E30" w14:textId="38734F89" w:rsidR="00B02B60" w:rsidRPr="00852C24" w:rsidRDefault="00B02B60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仿宋_GB2312" w:eastAsia="仿宋_GB2312" w:hAnsi="Times New Roman" w:cs="Times New Roman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省足协将从符合办赛条件的申办赛区中择优选择1-</w:t>
      </w:r>
      <w:r w:rsidR="0096188D">
        <w:rPr>
          <w:rFonts w:ascii="仿宋_GB2312" w:eastAsia="仿宋_GB2312" w:hAnsi="Times New Roman" w:cs="Times New Roman"/>
          <w:sz w:val="32"/>
          <w:szCs w:val="32"/>
        </w:rPr>
        <w:t>3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个赛区为2</w:t>
      </w:r>
      <w:r w:rsidRPr="00852C24">
        <w:rPr>
          <w:rFonts w:ascii="仿宋_GB2312" w:eastAsia="仿宋_GB2312" w:hAnsi="Times New Roman" w:cs="Times New Roman"/>
          <w:sz w:val="32"/>
          <w:szCs w:val="32"/>
        </w:rPr>
        <w:t>019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福建省足球协会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甲级联赛承办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赛区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，并根据赛制安排相应场次比赛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1B508DDF" w14:textId="6D7F7004" w:rsidR="002F729C" w:rsidRPr="00852C24" w:rsidRDefault="00B02B60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黑体" w:eastAsia="黑体" w:hAnsi="黑体" w:cs="Times New Roman"/>
          <w:sz w:val="32"/>
          <w:szCs w:val="32"/>
        </w:rPr>
      </w:pPr>
      <w:r w:rsidRPr="00852C24">
        <w:rPr>
          <w:rFonts w:ascii="黑体" w:eastAsia="黑体" w:hAnsi="黑体" w:cs="Times New Roman" w:hint="eastAsia"/>
          <w:sz w:val="32"/>
          <w:szCs w:val="32"/>
        </w:rPr>
        <w:t>四</w:t>
      </w:r>
      <w:r w:rsidR="001C7CA6" w:rsidRPr="00852C24">
        <w:rPr>
          <w:rFonts w:ascii="黑体" w:eastAsia="黑体" w:hAnsi="黑体" w:cs="Times New Roman" w:hint="eastAsia"/>
          <w:sz w:val="32"/>
          <w:szCs w:val="32"/>
        </w:rPr>
        <w:t>、承办标准及要求</w:t>
      </w:r>
    </w:p>
    <w:p w14:paraId="7C5F6F03" w14:textId="77777777" w:rsidR="002F729C" w:rsidRPr="00852C24" w:rsidRDefault="001C7CA6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仿宋_GB2312" w:eastAsia="仿宋_GB2312" w:hAnsi="Times New Roman" w:cs="Times New Roman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（一）比赛场地</w:t>
      </w:r>
    </w:p>
    <w:p w14:paraId="7432BF79" w14:textId="277F497E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1.足球场规格应符合《FIFA竞赛规则》规定，</w:t>
      </w:r>
      <w:r w:rsidR="00F94DB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场地类型可以为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天然草皮</w:t>
      </w:r>
      <w:r w:rsidR="008B15DC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足球场</w:t>
      </w:r>
      <w:r w:rsidR="00F94DB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或</w:t>
      </w:r>
      <w:r w:rsidR="00B02B60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人工草皮足球场，所有类型场地均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应确保</w:t>
      </w:r>
      <w:r w:rsidR="008B15DC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场地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平整</w:t>
      </w:r>
      <w:r w:rsidR="00B02B60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，球门、球网、划线符合标准</w:t>
      </w:r>
      <w:r w:rsidR="0083423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，配备标准替补席或临时搭建替补席（不少于1</w:t>
      </w:r>
      <w:r w:rsidR="00E24C0F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</w:t>
      </w:r>
      <w:r w:rsidR="0083423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个座位并具备遮雨设施）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9E868AF" w14:textId="56365309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2.</w:t>
      </w:r>
      <w:r w:rsidR="00D47F4A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比赛场地</w:t>
      </w:r>
      <w:r w:rsidR="006713DF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需带有观众席，具备半封闭及全封闭体育场条件的为宜，不具备的应自行设置临时观众席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或观赛区</w:t>
      </w:r>
      <w:r w:rsidR="006713DF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以提供给</w:t>
      </w:r>
      <w:r w:rsidR="008B15DC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球队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家属</w:t>
      </w:r>
      <w:r w:rsidR="008B15DC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、球迷及观众</w:t>
      </w:r>
      <w:r w:rsidR="006713DF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等进行观赛。</w:t>
      </w:r>
    </w:p>
    <w:p w14:paraId="52E92427" w14:textId="6D36C3C0" w:rsidR="002F729C" w:rsidRPr="00852C24" w:rsidRDefault="001C7CA6" w:rsidP="00F227CC">
      <w:pPr>
        <w:pStyle w:val="aa"/>
        <w:adjustRightInd w:val="0"/>
        <w:snapToGrid w:val="0"/>
        <w:spacing w:line="560" w:lineRule="exact"/>
        <w:ind w:rightChars="12" w:right="25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二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交通</w:t>
      </w:r>
    </w:p>
    <w:p w14:paraId="551CDEE2" w14:textId="53275B57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1. 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申办赛区所在地需有高铁或动车站； </w:t>
      </w:r>
    </w:p>
    <w:p w14:paraId="4F9F6176" w14:textId="1BF3D2CE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比赛场地距离高铁或动车站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车程在</w:t>
      </w:r>
      <w:r w:rsidR="00477087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0分钟以内；</w:t>
      </w:r>
    </w:p>
    <w:p w14:paraId="6737EA90" w14:textId="567CCE4C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三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）竞赛保障</w:t>
      </w:r>
    </w:p>
    <w:p w14:paraId="672E7F0F" w14:textId="77777777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 应提供符合竞赛组织工作要求数量的竞赛组织人员，其中：</w:t>
      </w:r>
    </w:p>
    <w:p w14:paraId="7DCD601A" w14:textId="007406B5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（1）工作人员：</w:t>
      </w:r>
      <w:r w:rsidR="00EA1AAF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至少</w:t>
      </w:r>
      <w:r w:rsidR="00BA5C19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</w:t>
      </w:r>
      <w:r w:rsidR="00EA1AAF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人（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数量应满足工作需要</w:t>
      </w:r>
      <w:r w:rsidR="00EA1AAF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AECB6BD" w14:textId="769D4515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（2）球童（每场）：</w:t>
      </w:r>
      <w:r w:rsidR="00477087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8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名；</w:t>
      </w:r>
    </w:p>
    <w:p w14:paraId="762B3CB6" w14:textId="489E09AB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（3）旗手（每场）：</w:t>
      </w:r>
      <w:r w:rsidR="00477087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8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名（</w:t>
      </w:r>
      <w:r w:rsidR="00190B6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两面旗帜各4人，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可由球童兼任）；</w:t>
      </w:r>
    </w:p>
    <w:p w14:paraId="73C4F9F7" w14:textId="4BD6FFE3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（4）担架员（每场）：</w:t>
      </w:r>
      <w:r w:rsidR="00477087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人（要求男性，年龄需满16岁）；</w:t>
      </w:r>
    </w:p>
    <w:p w14:paraId="66B66FA4" w14:textId="7DFA7D64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（5）技术录像拍摄员：</w:t>
      </w:r>
      <w:r w:rsidR="00477087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人</w:t>
      </w:r>
      <w:r w:rsidR="00485D6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FE5CA9B" w14:textId="4430FE5A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上述保障中（2）（3）</w:t>
      </w:r>
      <w:r w:rsidR="00E24C0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经赛事协调员或比赛监督同意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可根据场地实际情况</w:t>
      </w:r>
      <w:r w:rsidR="00E24C0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调整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1C84E12B" w14:textId="60B75014" w:rsidR="002F729C" w:rsidRPr="00852C24" w:rsidRDefault="00DC33D1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. 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每场比赛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应为参赛运动队提供</w:t>
      </w:r>
      <w:r w:rsid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瓶装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比赛用矿泉水（配备标准：</w:t>
      </w:r>
      <w:r w:rsid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每队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每</w:t>
      </w:r>
      <w:r w:rsidR="0047708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场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总量不少于</w:t>
      </w:r>
      <w:r w:rsidR="0096188D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升）</w:t>
      </w:r>
      <w:r w:rsid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，为竞赛官员提供瓶装比赛用矿泉水（</w:t>
      </w:r>
      <w:r w:rsidR="00852C24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配备标准：每场总量不少于</w:t>
      </w:r>
      <w:r w:rsid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12</w:t>
      </w:r>
      <w:r w:rsidR="00852C24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升</w:t>
      </w:r>
      <w:r w:rsid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0BEF102" w14:textId="17C8AC3D" w:rsidR="002F729C" w:rsidRPr="00852C24" w:rsidRDefault="00DC33D1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 应在</w:t>
      </w:r>
      <w:r w:rsidR="00DE414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比赛场地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设立</w:t>
      </w:r>
      <w:r w:rsidR="00DE414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1间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专用休息室或休息区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供</w:t>
      </w:r>
      <w:r w:rsid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赛事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协调员、比赛监督、裁判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组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进行</w:t>
      </w:r>
      <w:r w:rsid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工作</w:t>
      </w:r>
      <w:r w:rsidR="00B0150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和休息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049040D2" w14:textId="3369B3B8" w:rsidR="002F729C" w:rsidRPr="00852C24" w:rsidRDefault="00DC33D1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 技术录像：每场赛事用于技术（仲裁）录像的摄像</w:t>
      </w:r>
      <w:r w:rsidR="00DE414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设备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963CF5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台）由赛区负责提供，赛区同时应准备相应数量的移动U盘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（省足协提供）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，确保在比赛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结束2</w:t>
      </w:r>
      <w:r w:rsidR="00963CF5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4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小时内邮寄或送达至福建省足球协会。</w:t>
      </w:r>
    </w:p>
    <w:p w14:paraId="2D13689F" w14:textId="3B8C350B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四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）安保</w:t>
      </w:r>
    </w:p>
    <w:p w14:paraId="5CA1554E" w14:textId="2715AFCA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1. 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申办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赛区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需确保每场比赛开球前</w:t>
      </w:r>
      <w:r w:rsidR="0096188D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60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分钟至比赛结束期间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比赛提供足够数量的安保人员</w:t>
      </w:r>
      <w:r w:rsidR="00485D6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4E5E571" w14:textId="3D10DD7B" w:rsidR="00963CF5" w:rsidRPr="00852C24" w:rsidRDefault="00963CF5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 申办赛区需</w:t>
      </w:r>
      <w:r w:rsidR="00F227C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与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场地方确保每场比赛开球前</w:t>
      </w: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60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分钟至比赛结束期间进行场地临时封闭；</w:t>
      </w:r>
    </w:p>
    <w:p w14:paraId="61A7D037" w14:textId="79DC4FC6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五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）医务</w:t>
      </w:r>
    </w:p>
    <w:p w14:paraId="7DEBAF62" w14:textId="44DDECA3" w:rsidR="002F729C" w:rsidRPr="00852C24" w:rsidRDefault="00963CF5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每场比赛开球前</w:t>
      </w: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60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分钟至比赛结束期间</w:t>
      </w:r>
      <w:r w:rsidR="00DC33D1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应提供医疗服务，并配备救护车，救护车上必须有专业医疗人员及配备AED。比赛现场救护车数量至少为1辆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003721CB" w14:textId="7D6D23F4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六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）宣传</w:t>
      </w:r>
    </w:p>
    <w:p w14:paraId="5D39314D" w14:textId="289BB6C7" w:rsidR="002F729C" w:rsidRPr="00852C24" w:rsidRDefault="00657C70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. 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申办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赛区应</w:t>
      </w:r>
      <w:r w:rsidR="00511AD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每场提供比赛图片不少于</w:t>
      </w:r>
      <w:r w:rsidR="00F94DBE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8</w:t>
      </w:r>
      <w:r w:rsidR="00511AD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张，包括：入场仪式1张、比赛全景1张、比赛精彩图片</w:t>
      </w:r>
      <w:r w:rsidR="00F94DBE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4</w:t>
      </w:r>
      <w:r w:rsidR="00511AD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张、观众1张、商务布置1张。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图片应按活动名称和比赛对阵名称进行文件分类，比赛全部结束后</w:t>
      </w:r>
      <w:r w:rsidR="00963CF5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随比赛录像一同送至福建省足球协会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备存。</w:t>
      </w:r>
    </w:p>
    <w:p w14:paraId="407878F8" w14:textId="1F78B37C" w:rsidR="00657C70" w:rsidRPr="00852C24" w:rsidRDefault="00657C70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. </w:t>
      </w:r>
      <w:r w:rsidRPr="00852C2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福建省足球协会将对部分比赛场次进行网络直播，承办赛区需在比赛场地规划机位予以保障</w:t>
      </w:r>
      <w:r w:rsidR="00DE414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，网络直播费用由福建省足球协会承担</w:t>
      </w:r>
      <w:r w:rsidR="00511AD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，如有安排网络直播的场次，承办赛区可不再安排技术录像，同时福建省足球协会核减相应承办经费2</w:t>
      </w:r>
      <w:r w:rsidR="00511AD9">
        <w:rPr>
          <w:rFonts w:ascii="仿宋_GB2312" w:eastAsia="仿宋_GB2312" w:hAnsi="Times New Roman" w:cs="Times New Roman"/>
          <w:kern w:val="0"/>
          <w:sz w:val="32"/>
          <w:szCs w:val="32"/>
        </w:rPr>
        <w:t>00</w:t>
      </w:r>
      <w:r w:rsidR="00511AD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元/场</w:t>
      </w:r>
      <w:r w:rsidRPr="00852C2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14:paraId="33116130" w14:textId="6FCEE159" w:rsidR="003959A8" w:rsidRPr="00852C24" w:rsidRDefault="003959A8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0603DD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七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）活动与颁奖</w:t>
      </w:r>
    </w:p>
    <w:p w14:paraId="655B30A0" w14:textId="483907DA" w:rsidR="003959A8" w:rsidRPr="00852C24" w:rsidRDefault="00AD0ED1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. </w:t>
      </w:r>
      <w:r w:rsidR="00511AD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承办</w:t>
      </w:r>
      <w:r w:rsidR="003959A8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赛区应</w:t>
      </w:r>
      <w:r w:rsidR="00CD05D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配合</w:t>
      </w:r>
      <w:r w:rsidR="000603DD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福建省足球协会</w:t>
      </w:r>
      <w:r w:rsidR="00CD05D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组织</w:t>
      </w:r>
      <w:r w:rsidR="003959A8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或自行策划相关交流活动，如</w:t>
      </w:r>
      <w:r w:rsidR="000603DD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赞助商商业推广展示、足球活动</w:t>
      </w:r>
      <w:r w:rsidR="003959A8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交流展示、嘉年华等，丰富足球文化</w:t>
      </w:r>
      <w:r w:rsidR="00485D6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BA4E0A1" w14:textId="48CA93C7" w:rsidR="00AD0ED1" w:rsidRPr="00852C24" w:rsidRDefault="003959A8" w:rsidP="00AD0ED1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 w:rsidR="00AD0ED1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511AD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承办</w:t>
      </w:r>
      <w:r w:rsidR="00511AD9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赛区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应</w:t>
      </w:r>
      <w:r w:rsidR="00CD05D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配合</w:t>
      </w:r>
      <w:r w:rsidR="000603DD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福建省足球协会</w:t>
      </w:r>
      <w:r w:rsidR="00CD05D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组织开幕式和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颁奖</w:t>
      </w:r>
      <w:r w:rsidR="00CD05D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仪式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677ADFA6" w14:textId="047F5CA9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0603DD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八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）比赛用球</w:t>
      </w:r>
    </w:p>
    <w:p w14:paraId="6A50B129" w14:textId="07010DD1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比赛用球</w:t>
      </w:r>
      <w:r w:rsidR="000603DD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由福建省足球协会</w:t>
      </w:r>
      <w:r w:rsidR="00E24C0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或指定赞助商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提供，并于赛前一周邮寄到各赛区</w:t>
      </w:r>
      <w:r w:rsidR="00807272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，组委会不提供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参赛队训练用球</w:t>
      </w:r>
      <w:r w:rsidR="00485D6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6129962B" w14:textId="77777777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四、商务权益</w:t>
      </w:r>
    </w:p>
    <w:p w14:paraId="0CC3A978" w14:textId="77777777" w:rsidR="00485D67" w:rsidRPr="00852C24" w:rsidRDefault="001C7CA6" w:rsidP="00F227CC">
      <w:pPr>
        <w:adjustRightInd w:val="0"/>
        <w:snapToGrid w:val="0"/>
        <w:spacing w:line="560" w:lineRule="exact"/>
        <w:ind w:rightChars="12" w:right="25"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（一）</w:t>
      </w:r>
      <w:r w:rsidR="00485D67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权益与授权</w:t>
      </w:r>
    </w:p>
    <w:p w14:paraId="1372E6AF" w14:textId="445FB580" w:rsidR="002F729C" w:rsidRPr="00852C24" w:rsidRDefault="00657C70" w:rsidP="00F227CC">
      <w:pPr>
        <w:adjustRightInd w:val="0"/>
        <w:snapToGrid w:val="0"/>
        <w:spacing w:line="560" w:lineRule="exact"/>
        <w:ind w:rightChars="12" w:right="25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福建省足球协会</w:t>
      </w:r>
      <w:r w:rsidR="001C7CA6" w:rsidRPr="00852C24">
        <w:rPr>
          <w:rFonts w:ascii="仿宋_GB2312" w:eastAsia="仿宋_GB2312" w:hAnsi="Times New Roman" w:cs="Times New Roman" w:hint="eastAsia"/>
          <w:sz w:val="32"/>
          <w:szCs w:val="32"/>
        </w:rPr>
        <w:t>拥有赛事全部的市场开发权益、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网络直播</w:t>
      </w:r>
      <w:r w:rsidR="001C7CA6" w:rsidRPr="00852C24">
        <w:rPr>
          <w:rFonts w:ascii="仿宋_GB2312" w:eastAsia="仿宋_GB2312" w:hAnsi="Times New Roman" w:cs="Times New Roman" w:hint="eastAsia"/>
          <w:sz w:val="32"/>
          <w:szCs w:val="32"/>
        </w:rPr>
        <w:t>和新闻宣传报道权以及与比赛相关的</w:t>
      </w:r>
      <w:r w:rsidR="00B24E4E" w:rsidRPr="00852C24">
        <w:rPr>
          <w:rFonts w:ascii="仿宋_GB2312" w:eastAsia="仿宋_GB2312" w:hAnsi="Times New Roman" w:cs="Times New Roman" w:hint="eastAsia"/>
          <w:sz w:val="32"/>
          <w:szCs w:val="32"/>
        </w:rPr>
        <w:t>其他商务</w:t>
      </w:r>
      <w:r w:rsidR="0059331B" w:rsidRPr="00852C24">
        <w:rPr>
          <w:rFonts w:ascii="仿宋_GB2312" w:eastAsia="仿宋_GB2312" w:hAnsi="Times New Roman" w:cs="Times New Roman" w:hint="eastAsia"/>
          <w:sz w:val="32"/>
          <w:szCs w:val="32"/>
        </w:rPr>
        <w:t>权益，并有权转让和授权给承办赛区或其他单位。</w:t>
      </w:r>
    </w:p>
    <w:p w14:paraId="4D154C34" w14:textId="77777777" w:rsidR="00485D67" w:rsidRPr="00852C24" w:rsidRDefault="001C7CA6" w:rsidP="00F227CC">
      <w:pPr>
        <w:adjustRightInd w:val="0"/>
        <w:snapToGrid w:val="0"/>
        <w:spacing w:line="560" w:lineRule="exact"/>
        <w:ind w:rightChars="12" w:right="25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="00485D67" w:rsidRPr="00852C24">
        <w:rPr>
          <w:rFonts w:ascii="仿宋_GB2312" w:eastAsia="仿宋_GB2312" w:hAnsi="Times New Roman" w:cs="Times New Roman" w:hint="eastAsia"/>
          <w:sz w:val="32"/>
          <w:szCs w:val="32"/>
        </w:rPr>
        <w:t>场地商务设置</w:t>
      </w:r>
    </w:p>
    <w:p w14:paraId="7524DC0D" w14:textId="2AEA1FA8" w:rsidR="004C16FF" w:rsidRPr="00852C24" w:rsidRDefault="00657C70" w:rsidP="00F227CC">
      <w:pPr>
        <w:adjustRightInd w:val="0"/>
        <w:snapToGrid w:val="0"/>
        <w:spacing w:line="560" w:lineRule="exact"/>
        <w:ind w:rightChars="12" w:right="25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852C24">
        <w:rPr>
          <w:rFonts w:ascii="仿宋_GB2312" w:eastAsia="仿宋_GB2312" w:hAnsi="Times New Roman" w:cs="Times New Roman"/>
          <w:sz w:val="32"/>
          <w:szCs w:val="32"/>
        </w:rPr>
        <w:t xml:space="preserve">. </w:t>
      </w:r>
      <w:r w:rsidR="00F94DBE">
        <w:rPr>
          <w:rFonts w:ascii="仿宋_GB2312" w:eastAsia="仿宋_GB2312" w:hAnsi="Times New Roman" w:cs="Times New Roman" w:hint="eastAsia"/>
          <w:sz w:val="32"/>
          <w:szCs w:val="32"/>
        </w:rPr>
        <w:t>承办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赛区应</w:t>
      </w:r>
      <w:r w:rsidR="00F94DBE">
        <w:rPr>
          <w:rFonts w:ascii="仿宋_GB2312" w:eastAsia="仿宋_GB2312" w:hAnsi="Times New Roman" w:cs="Times New Roman" w:hint="eastAsia"/>
          <w:sz w:val="32"/>
          <w:szCs w:val="32"/>
        </w:rPr>
        <w:t>制作并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悬挂赛事名称横幅</w:t>
      </w:r>
      <w:r w:rsidR="00F94DBE">
        <w:rPr>
          <w:rFonts w:ascii="仿宋_GB2312" w:eastAsia="仿宋_GB2312" w:hAnsi="Times New Roman" w:cs="Times New Roman" w:hint="eastAsia"/>
          <w:sz w:val="32"/>
          <w:szCs w:val="32"/>
        </w:rPr>
        <w:t>至少1条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（规格：1米</w:t>
      </w:r>
      <w:r w:rsidR="004C16FF" w:rsidRPr="00852C24">
        <w:rPr>
          <w:rFonts w:ascii="仿宋_GB2312" w:eastAsia="仿宋_GB2312" w:hAnsi="仿宋" w:hint="eastAsia"/>
          <w:kern w:val="32"/>
          <w:sz w:val="32"/>
          <w:szCs w:val="32"/>
        </w:rPr>
        <w:t>×</w:t>
      </w:r>
      <w:r w:rsidR="00511AD9">
        <w:rPr>
          <w:rFonts w:ascii="仿宋_GB2312" w:eastAsia="仿宋_GB2312" w:hAnsi="Segoe UI Symbol" w:cs="Segoe UI Symbol"/>
          <w:sz w:val="32"/>
          <w:szCs w:val="32"/>
        </w:rPr>
        <w:t>1</w:t>
      </w:r>
      <w:r w:rsidR="00F94DBE">
        <w:rPr>
          <w:rFonts w:ascii="仿宋_GB2312" w:eastAsia="仿宋_GB2312" w:hAnsi="Segoe UI Symbol" w:cs="Segoe UI Symbol"/>
          <w:sz w:val="32"/>
          <w:szCs w:val="32"/>
        </w:rPr>
        <w:t>2</w:t>
      </w:r>
      <w:r w:rsidR="004C16FF" w:rsidRPr="00852C24">
        <w:rPr>
          <w:rFonts w:ascii="仿宋_GB2312" w:eastAsia="仿宋_GB2312" w:hAnsi="Segoe UI Symbol" w:cs="Segoe UI Symbol" w:hint="eastAsia"/>
          <w:sz w:val="32"/>
          <w:szCs w:val="32"/>
        </w:rPr>
        <w:t>米</w:t>
      </w:r>
      <w:r w:rsidR="00F94DBE">
        <w:rPr>
          <w:rFonts w:ascii="仿宋_GB2312" w:eastAsia="仿宋_GB2312" w:hAnsi="Segoe UI Symbol" w:cs="Segoe UI Symbol" w:hint="eastAsia"/>
          <w:sz w:val="32"/>
          <w:szCs w:val="32"/>
        </w:rPr>
        <w:t>，红底白字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），赛事规范名称为：2</w:t>
      </w:r>
      <w:r w:rsidR="004C16FF" w:rsidRPr="00852C24">
        <w:rPr>
          <w:rFonts w:ascii="仿宋_GB2312" w:eastAsia="仿宋_GB2312" w:hAnsi="Times New Roman" w:cs="Times New Roman"/>
          <w:sz w:val="32"/>
          <w:szCs w:val="32"/>
        </w:rPr>
        <w:t>019</w:t>
      </w:r>
      <w:r w:rsidR="00AD0ED1">
        <w:rPr>
          <w:rFonts w:ascii="仿宋_GB2312" w:eastAsia="仿宋_GB2312" w:hAnsi="Times New Roman" w:cs="Times New Roman"/>
          <w:sz w:val="32"/>
          <w:szCs w:val="32"/>
        </w:rPr>
        <w:t>“</w:t>
      </w:r>
      <w:r w:rsidR="00AD0ED1">
        <w:rPr>
          <w:rFonts w:ascii="仿宋_GB2312" w:eastAsia="仿宋_GB2312" w:hAnsi="Times New Roman" w:cs="Times New Roman"/>
          <w:sz w:val="32"/>
          <w:szCs w:val="32"/>
        </w:rPr>
        <w:t>XXX</w:t>
      </w:r>
      <w:r w:rsidR="00AD0ED1">
        <w:rPr>
          <w:rFonts w:ascii="仿宋_GB2312" w:eastAsia="仿宋_GB2312" w:hAnsi="Times New Roman" w:cs="Times New Roman"/>
          <w:sz w:val="32"/>
          <w:szCs w:val="32"/>
        </w:rPr>
        <w:t>”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福建省足球协会</w:t>
      </w:r>
      <w:r w:rsidR="0096188D">
        <w:rPr>
          <w:rFonts w:ascii="仿宋_GB2312" w:eastAsia="仿宋_GB2312" w:hAnsi="Times New Roman" w:cs="Times New Roman" w:hint="eastAsia"/>
          <w:sz w:val="32"/>
          <w:szCs w:val="32"/>
        </w:rPr>
        <w:t>甲级联赛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（X</w:t>
      </w:r>
      <w:r w:rsidR="004C16FF" w:rsidRPr="00852C24">
        <w:rPr>
          <w:rFonts w:ascii="仿宋_GB2312" w:eastAsia="仿宋_GB2312" w:hAnsi="Times New Roman" w:cs="Times New Roman"/>
          <w:sz w:val="32"/>
          <w:szCs w:val="32"/>
        </w:rPr>
        <w:t>X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赛区）；</w:t>
      </w:r>
    </w:p>
    <w:p w14:paraId="3A08931A" w14:textId="75ED9875" w:rsidR="00090BB2" w:rsidRPr="00852C24" w:rsidRDefault="004C16FF" w:rsidP="00F227CC">
      <w:pPr>
        <w:adjustRightInd w:val="0"/>
        <w:snapToGrid w:val="0"/>
        <w:spacing w:line="560" w:lineRule="exact"/>
        <w:ind w:rightChars="12" w:right="25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52C24">
        <w:rPr>
          <w:rFonts w:ascii="仿宋_GB2312" w:eastAsia="仿宋_GB2312" w:hAnsi="Times New Roman" w:cs="Times New Roman"/>
          <w:sz w:val="32"/>
          <w:szCs w:val="32"/>
        </w:rPr>
        <w:t xml:space="preserve">2. </w:t>
      </w:r>
      <w:r w:rsidR="00F94DBE">
        <w:rPr>
          <w:rFonts w:ascii="仿宋_GB2312" w:eastAsia="仿宋_GB2312" w:hAnsi="Times New Roman" w:cs="Times New Roman" w:hint="eastAsia"/>
          <w:sz w:val="32"/>
          <w:szCs w:val="32"/>
        </w:rPr>
        <w:t>根据赛事商务开发情况，</w:t>
      </w:r>
      <w:r w:rsidR="00511AD9">
        <w:rPr>
          <w:rFonts w:ascii="仿宋_GB2312" w:eastAsia="仿宋_GB2312" w:hAnsi="Times New Roman" w:cs="Times New Roman" w:hint="eastAsia"/>
          <w:sz w:val="32"/>
          <w:szCs w:val="32"/>
        </w:rPr>
        <w:t>承办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赛区</w:t>
      </w:r>
      <w:r w:rsidR="00511AD9">
        <w:rPr>
          <w:rFonts w:ascii="仿宋_GB2312" w:eastAsia="仿宋_GB2312" w:hAnsi="Times New Roman" w:cs="Times New Roman" w:hint="eastAsia"/>
          <w:sz w:val="32"/>
          <w:szCs w:val="32"/>
        </w:rPr>
        <w:t>根据福建省足球协会要求</w:t>
      </w:r>
      <w:r w:rsidR="001C7CA6" w:rsidRPr="00852C24">
        <w:rPr>
          <w:rFonts w:ascii="仿宋_GB2312" w:eastAsia="仿宋_GB2312" w:hAnsi="Times New Roman" w:cs="Times New Roman" w:hint="eastAsia"/>
          <w:sz w:val="32"/>
          <w:szCs w:val="32"/>
        </w:rPr>
        <w:t>设置</w:t>
      </w:r>
      <w:r w:rsidR="00511AD9">
        <w:rPr>
          <w:rFonts w:ascii="仿宋_GB2312" w:eastAsia="仿宋_GB2312" w:hAnsi="Times New Roman" w:cs="Times New Roman" w:hint="eastAsia"/>
          <w:sz w:val="32"/>
          <w:szCs w:val="32"/>
        </w:rPr>
        <w:t>相应</w:t>
      </w:r>
      <w:r w:rsidR="001C7CA6" w:rsidRPr="00852C24">
        <w:rPr>
          <w:rFonts w:ascii="仿宋_GB2312" w:eastAsia="仿宋_GB2312" w:hAnsi="Times New Roman" w:cs="Times New Roman" w:hint="eastAsia"/>
          <w:sz w:val="32"/>
          <w:szCs w:val="32"/>
        </w:rPr>
        <w:t>广告板</w:t>
      </w:r>
      <w:r w:rsidR="00273D39" w:rsidRPr="00852C24">
        <w:rPr>
          <w:rFonts w:ascii="仿宋_GB2312" w:eastAsia="仿宋_GB2312" w:hAnsi="Times New Roman" w:cs="Times New Roman" w:hint="eastAsia"/>
          <w:sz w:val="32"/>
          <w:szCs w:val="32"/>
        </w:rPr>
        <w:t>，所有商务</w:t>
      </w:r>
      <w:r w:rsidR="00005118" w:rsidRPr="00852C24">
        <w:rPr>
          <w:rFonts w:ascii="仿宋_GB2312" w:eastAsia="仿宋_GB2312" w:hAnsi="Times New Roman" w:cs="Times New Roman" w:hint="eastAsia"/>
          <w:sz w:val="32"/>
          <w:szCs w:val="32"/>
        </w:rPr>
        <w:t>设计</w:t>
      </w:r>
      <w:r w:rsidR="00F94DBE">
        <w:rPr>
          <w:rFonts w:ascii="仿宋_GB2312" w:eastAsia="仿宋_GB2312" w:hAnsi="Times New Roman" w:cs="Times New Roman" w:hint="eastAsia"/>
          <w:sz w:val="32"/>
          <w:szCs w:val="32"/>
        </w:rPr>
        <w:t>制作</w:t>
      </w:r>
      <w:r w:rsidR="00005118" w:rsidRPr="00852C24"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="00657C70" w:rsidRPr="00852C24">
        <w:rPr>
          <w:rFonts w:ascii="仿宋_GB2312" w:eastAsia="仿宋_GB2312" w:hAnsi="Times New Roman" w:cs="Times New Roman" w:hint="eastAsia"/>
          <w:sz w:val="32"/>
          <w:szCs w:val="32"/>
        </w:rPr>
        <w:t>福建省足球协会</w:t>
      </w:r>
      <w:r w:rsidR="00F94DBE">
        <w:rPr>
          <w:rFonts w:ascii="仿宋_GB2312" w:eastAsia="仿宋_GB2312" w:hAnsi="Times New Roman" w:cs="Times New Roman" w:hint="eastAsia"/>
          <w:sz w:val="32"/>
          <w:szCs w:val="32"/>
        </w:rPr>
        <w:t>负责</w:t>
      </w:r>
      <w:r w:rsidR="00657C70" w:rsidRPr="00852C24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14:paraId="1BF75320" w14:textId="3DE95630" w:rsidR="00273D39" w:rsidRPr="00852C24" w:rsidRDefault="00273D39" w:rsidP="00F227CC">
      <w:pPr>
        <w:adjustRightInd w:val="0"/>
        <w:snapToGrid w:val="0"/>
        <w:spacing w:line="560" w:lineRule="exact"/>
        <w:ind w:rightChars="12" w:right="25" w:firstLineChars="200" w:firstLine="64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（三）承办赛区需提前向</w:t>
      </w:r>
      <w:r w:rsidR="004C16FF" w:rsidRPr="00852C24">
        <w:rPr>
          <w:rFonts w:ascii="仿宋_GB2312" w:eastAsia="仿宋_GB2312" w:hAnsi="Times New Roman" w:cs="Times New Roman" w:hint="eastAsia"/>
          <w:sz w:val="32"/>
          <w:szCs w:val="32"/>
        </w:rPr>
        <w:t>福建省足球协会</w:t>
      </w:r>
      <w:r w:rsidRPr="00852C24">
        <w:rPr>
          <w:rFonts w:ascii="仿宋_GB2312" w:eastAsia="仿宋_GB2312" w:hAnsi="Times New Roman" w:cs="Times New Roman" w:hint="eastAsia"/>
          <w:sz w:val="32"/>
          <w:szCs w:val="32"/>
        </w:rPr>
        <w:t>申请市场开发权，获得批准后方可执行。</w:t>
      </w:r>
    </w:p>
    <w:p w14:paraId="760029E1" w14:textId="73443687" w:rsidR="002F729C" w:rsidRPr="00852C24" w:rsidRDefault="004C16FF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</w:t>
      </w:r>
      <w:r w:rsidR="001C7CA6"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、经费</w:t>
      </w:r>
      <w:r w:rsidR="00777471"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管理</w:t>
      </w:r>
    </w:p>
    <w:p w14:paraId="231B82D9" w14:textId="5D3AC711" w:rsidR="00852C24" w:rsidRPr="00852C24" w:rsidRDefault="003C76FC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（一）</w:t>
      </w:r>
      <w:r w:rsidR="00852C24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承办经费</w:t>
      </w:r>
    </w:p>
    <w:p w14:paraId="42E15C18" w14:textId="6479056A" w:rsidR="002F729C" w:rsidRDefault="00852C24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. </w:t>
      </w:r>
      <w:r w:rsidR="00BA5C19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福建省足球协会向承办赛区支付承办经费</w:t>
      </w:r>
      <w:r w:rsidR="00511AD9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</w:t>
      </w:r>
      <w:r w:rsidR="00BA5C19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000</w:t>
      </w:r>
      <w:r w:rsidR="00BA5C19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元/场，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承办单位应负担比赛的全部组织费用，包括</w:t>
      </w:r>
      <w:r w:rsidR="005E23C1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但不限于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="00511AD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场地费、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人员服务、器材设施、</w:t>
      </w:r>
      <w:r w:rsidR="00807272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广告</w:t>
      </w:r>
      <w:r w:rsidR="00F94DB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板</w:t>
      </w:r>
      <w:bookmarkStart w:id="0" w:name="_GoBack"/>
      <w:bookmarkEnd w:id="0"/>
      <w:r w:rsidR="00511AD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维护</w:t>
      </w:r>
      <w:r w:rsidR="00807272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安保、医务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、比赛用水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等</w:t>
      </w:r>
      <w:r w:rsidR="00DD630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。福建省足球协会</w:t>
      </w:r>
      <w:r w:rsidR="006601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将于承办</w:t>
      </w:r>
      <w:r w:rsidR="00DD630C" w:rsidRPr="00DD630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赛区签订的赛事承办协议</w:t>
      </w:r>
      <w:r w:rsidR="006601D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对承办经费拨付方式另行</w:t>
      </w:r>
      <w:r w:rsidR="00DD630C" w:rsidRPr="00DD630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约定；</w:t>
      </w:r>
    </w:p>
    <w:p w14:paraId="72A85618" w14:textId="0F3C03E1" w:rsidR="006601D4" w:rsidRDefault="006601D4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符合办赛条件并能承诺减免相应承办经费的赛区将优先考虑；</w:t>
      </w:r>
    </w:p>
    <w:p w14:paraId="0A516515" w14:textId="50BB165E" w:rsidR="006601D4" w:rsidRPr="00852C24" w:rsidRDefault="006601D4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（二）其他经费</w:t>
      </w:r>
    </w:p>
    <w:p w14:paraId="5A96CC93" w14:textId="3E34B764" w:rsidR="002F729C" w:rsidRPr="00852C24" w:rsidRDefault="00A24A65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福建省足球协会负责每场比赛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竞赛官员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的选派</w:t>
      </w:r>
      <w:r w:rsidR="005D128B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，并承担比赛竞赛官员以下费用</w:t>
      </w:r>
      <w:r w:rsidR="001C7CA6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5CD277A5" w14:textId="77777777" w:rsidR="00E24C0F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（1）竞赛官员</w:t>
      </w:r>
      <w:r w:rsidR="005D128B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往返赛区的交通费和市内交通费；</w:t>
      </w:r>
    </w:p>
    <w:p w14:paraId="663304A8" w14:textId="611FC7BC" w:rsidR="002F729C" w:rsidRPr="00852C24" w:rsidRDefault="00E24C0F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（2）竞赛官员的食宿费；</w:t>
      </w:r>
      <w:r w:rsidR="005D128B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14:paraId="05511BBC" w14:textId="42A70746" w:rsidR="002F729C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E24C0F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）竞赛官员</w:t>
      </w:r>
      <w:r w:rsidR="005D128B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工作酬金</w:t>
      </w:r>
      <w:r w:rsidR="005D128B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162E7BBB" w14:textId="0715C45C" w:rsidR="00DD630C" w:rsidRPr="00852C24" w:rsidRDefault="00DD630C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（4）食宿、交通、市内交通、工作酬金</w:t>
      </w:r>
      <w:r w:rsidRPr="00DD630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标准按《2019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福建省足球协会</w:t>
      </w:r>
      <w:r w:rsidR="0096188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甲级联赛</w:t>
      </w:r>
      <w:r w:rsidRPr="00DD630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组织经费管理规定》执行。</w:t>
      </w:r>
    </w:p>
    <w:p w14:paraId="592AD995" w14:textId="5B66402E" w:rsidR="002F729C" w:rsidRPr="00852C24" w:rsidRDefault="001C7CA6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六、申办</w:t>
      </w:r>
      <w:r w:rsidR="00D36015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方式与</w:t>
      </w:r>
      <w:r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时间</w:t>
      </w:r>
    </w:p>
    <w:p w14:paraId="31791C32" w14:textId="0500BAAD" w:rsidR="00D47F4A" w:rsidRDefault="006601D4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. </w:t>
      </w:r>
      <w:r w:rsidR="00D3601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申办</w:t>
      </w:r>
      <w:r w:rsidR="00D47F4A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单位于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D47F4A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15</w:t>
      </w:r>
      <w:r w:rsidR="00D47F4A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日前提交相关申请报告及赛区申请表（见附件），</w:t>
      </w:r>
      <w:r w:rsidR="005F7C33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由所在地市足协或县区足协</w:t>
      </w:r>
      <w:r w:rsidR="00D47F4A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加盖公章后将扫描件电子版以邮件形式发送至邮箱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hyperlink r:id="rId8" w:history="1">
        <w:r w:rsidRPr="00F227CC">
          <w:rPr>
            <w:rStyle w:val="a9"/>
            <w:rFonts w:ascii="仿宋_GB2312" w:eastAsia="仿宋_GB2312" w:hAnsi="Times New Roman" w:cs="Times New Roman"/>
            <w:color w:val="auto"/>
            <w:kern w:val="0"/>
            <w:sz w:val="32"/>
            <w:szCs w:val="32"/>
            <w:u w:val="none"/>
          </w:rPr>
          <w:t>fjszqxh@163.com</w:t>
        </w:r>
      </w:hyperlink>
      <w:r>
        <w:rPr>
          <w:rStyle w:val="a9"/>
          <w:rFonts w:ascii="仿宋_GB2312" w:eastAsia="仿宋_GB2312" w:hAnsi="Times New Roman" w:cs="Times New Roman" w:hint="eastAsia"/>
          <w:color w:val="auto"/>
          <w:kern w:val="0"/>
          <w:sz w:val="32"/>
          <w:szCs w:val="32"/>
          <w:u w:val="none"/>
        </w:rPr>
        <w:t>；</w:t>
      </w:r>
    </w:p>
    <w:p w14:paraId="5313FB0C" w14:textId="2F96614C" w:rsidR="00F227CC" w:rsidRPr="00F227CC" w:rsidRDefault="006601D4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</w:t>
      </w:r>
      <w:r w:rsidR="00F227CC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. </w:t>
      </w:r>
      <w:r w:rsidR="00F227C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福建省足球协会将根据申办赛区提交材料组织赛区评估后另行公布。</w:t>
      </w:r>
    </w:p>
    <w:p w14:paraId="5BEA1EFD" w14:textId="4D50D2EB" w:rsidR="002F729C" w:rsidRPr="00852C24" w:rsidRDefault="005F7C33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七</w:t>
      </w:r>
      <w:r w:rsidR="001C7CA6"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、联系人</w:t>
      </w:r>
    </w:p>
    <w:p w14:paraId="16E271ED" w14:textId="38D334CB" w:rsidR="005E23C1" w:rsidRPr="00852C24" w:rsidRDefault="005F7C33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福建足协：</w:t>
      </w:r>
      <w:r w:rsidR="009C116E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刘玉权</w:t>
      </w: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电话：0</w:t>
      </w:r>
      <w:r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591-87716286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BA5C19"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BA5C19" w:rsidRPr="00852C24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3405950452</w:t>
      </w:r>
    </w:p>
    <w:p w14:paraId="4F393A31" w14:textId="2A51DBDE" w:rsidR="00BD5CC2" w:rsidRPr="00852C24" w:rsidRDefault="005F7C33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八</w:t>
      </w:r>
      <w:r w:rsidR="00BD5CC2" w:rsidRPr="00852C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、其他</w:t>
      </w:r>
    </w:p>
    <w:p w14:paraId="70E42B3D" w14:textId="7A96B88E" w:rsidR="00BD5CC2" w:rsidRPr="00852C24" w:rsidRDefault="00BD5CC2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未尽事宜，另行通知，最终解释权归</w:t>
      </w:r>
      <w:r w:rsidR="00D3601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福建省足球协会</w:t>
      </w:r>
      <w:r w:rsidRPr="00852C2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所有。</w:t>
      </w:r>
    </w:p>
    <w:p w14:paraId="205ED37D" w14:textId="77777777" w:rsidR="00BD5CC2" w:rsidRPr="00852C24" w:rsidRDefault="00BD5CC2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5BEC3102" w14:textId="02DE5D4B" w:rsidR="00BD5CC2" w:rsidRPr="00852C24" w:rsidRDefault="00BD5CC2" w:rsidP="00F227CC">
      <w:pPr>
        <w:widowControl/>
        <w:adjustRightInd w:val="0"/>
        <w:snapToGrid w:val="0"/>
        <w:spacing w:line="560" w:lineRule="exact"/>
        <w:ind w:rightChars="12" w:right="25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sectPr w:rsidR="00BD5CC2" w:rsidRPr="00852C24" w:rsidSect="00771DE7">
      <w:footerReference w:type="default" r:id="rId9"/>
      <w:pgSz w:w="11906" w:h="16838"/>
      <w:pgMar w:top="1701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1A63" w14:textId="77777777" w:rsidR="003A2577" w:rsidRDefault="003A2577" w:rsidP="00032D84">
      <w:r>
        <w:separator/>
      </w:r>
    </w:p>
  </w:endnote>
  <w:endnote w:type="continuationSeparator" w:id="0">
    <w:p w14:paraId="4751CDB2" w14:textId="77777777" w:rsidR="003A2577" w:rsidRDefault="003A2577" w:rsidP="000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7DF" w14:textId="09022475" w:rsidR="00F227CC" w:rsidRPr="00F227CC" w:rsidRDefault="00F227CC" w:rsidP="00F227CC">
    <w:pPr>
      <w:pStyle w:val="a5"/>
      <w:jc w:val="center"/>
      <w:rPr>
        <w:rFonts w:ascii="仿宋_GB2312" w:eastAsia="仿宋_GB2312"/>
        <w:sz w:val="28"/>
        <w:szCs w:val="28"/>
      </w:rPr>
    </w:pPr>
    <w:r w:rsidRPr="00F227CC">
      <w:rPr>
        <w:rFonts w:ascii="仿宋_GB2312" w:eastAsia="仿宋_GB2312" w:hint="eastAsia"/>
        <w:sz w:val="28"/>
        <w:szCs w:val="28"/>
      </w:rPr>
      <w:fldChar w:fldCharType="begin"/>
    </w:r>
    <w:r w:rsidRPr="00F227CC">
      <w:rPr>
        <w:rFonts w:ascii="仿宋_GB2312" w:eastAsia="仿宋_GB2312" w:hint="eastAsia"/>
        <w:sz w:val="28"/>
        <w:szCs w:val="28"/>
      </w:rPr>
      <w:instrText xml:space="preserve"> PAGE  \* ArabicDash  \* MERGEFORMAT </w:instrText>
    </w:r>
    <w:r w:rsidRPr="00F227CC">
      <w:rPr>
        <w:rFonts w:ascii="仿宋_GB2312" w:eastAsia="仿宋_GB2312" w:hint="eastAsia"/>
        <w:sz w:val="28"/>
        <w:szCs w:val="28"/>
      </w:rPr>
      <w:fldChar w:fldCharType="separate"/>
    </w:r>
    <w:r w:rsidRPr="00F227CC">
      <w:rPr>
        <w:rFonts w:ascii="仿宋_GB2312" w:eastAsia="仿宋_GB2312" w:hint="eastAsia"/>
        <w:noProof/>
        <w:sz w:val="28"/>
        <w:szCs w:val="28"/>
      </w:rPr>
      <w:t>- 3 -</w:t>
    </w:r>
    <w:r w:rsidRPr="00F227CC"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8834" w14:textId="77777777" w:rsidR="003A2577" w:rsidRDefault="003A2577" w:rsidP="00032D84">
      <w:r>
        <w:separator/>
      </w:r>
    </w:p>
  </w:footnote>
  <w:footnote w:type="continuationSeparator" w:id="0">
    <w:p w14:paraId="201D3D20" w14:textId="77777777" w:rsidR="003A2577" w:rsidRDefault="003A2577" w:rsidP="0003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C20"/>
    <w:rsid w:val="00000749"/>
    <w:rsid w:val="00005118"/>
    <w:rsid w:val="00012F14"/>
    <w:rsid w:val="00032D84"/>
    <w:rsid w:val="000509F2"/>
    <w:rsid w:val="000603DD"/>
    <w:rsid w:val="0006233B"/>
    <w:rsid w:val="00090BB2"/>
    <w:rsid w:val="001152DD"/>
    <w:rsid w:val="00134AB2"/>
    <w:rsid w:val="0014391B"/>
    <w:rsid w:val="00150A3C"/>
    <w:rsid w:val="001543F4"/>
    <w:rsid w:val="00190B69"/>
    <w:rsid w:val="001C7CA6"/>
    <w:rsid w:val="001D66DC"/>
    <w:rsid w:val="001E62BA"/>
    <w:rsid w:val="001F5B98"/>
    <w:rsid w:val="00222294"/>
    <w:rsid w:val="00223384"/>
    <w:rsid w:val="00227CE2"/>
    <w:rsid w:val="0024191D"/>
    <w:rsid w:val="0025350B"/>
    <w:rsid w:val="002716B4"/>
    <w:rsid w:val="00273D39"/>
    <w:rsid w:val="0029487D"/>
    <w:rsid w:val="002B0674"/>
    <w:rsid w:val="002B1B09"/>
    <w:rsid w:val="002D0521"/>
    <w:rsid w:val="002F729C"/>
    <w:rsid w:val="00305803"/>
    <w:rsid w:val="00346AF6"/>
    <w:rsid w:val="00346ECB"/>
    <w:rsid w:val="003959A8"/>
    <w:rsid w:val="003A2577"/>
    <w:rsid w:val="003B5DB9"/>
    <w:rsid w:val="003C76FC"/>
    <w:rsid w:val="00445C20"/>
    <w:rsid w:val="0044612E"/>
    <w:rsid w:val="00477087"/>
    <w:rsid w:val="00485D67"/>
    <w:rsid w:val="004900BA"/>
    <w:rsid w:val="004A019D"/>
    <w:rsid w:val="004A1D38"/>
    <w:rsid w:val="004C16FF"/>
    <w:rsid w:val="004F77C1"/>
    <w:rsid w:val="00500B55"/>
    <w:rsid w:val="00511AD9"/>
    <w:rsid w:val="00561321"/>
    <w:rsid w:val="0059331B"/>
    <w:rsid w:val="005D128B"/>
    <w:rsid w:val="005E03C8"/>
    <w:rsid w:val="005E23C1"/>
    <w:rsid w:val="005F0F44"/>
    <w:rsid w:val="005F7C33"/>
    <w:rsid w:val="00615BC5"/>
    <w:rsid w:val="00642A7F"/>
    <w:rsid w:val="00654DAF"/>
    <w:rsid w:val="00657C70"/>
    <w:rsid w:val="006601D4"/>
    <w:rsid w:val="006713DF"/>
    <w:rsid w:val="00686C85"/>
    <w:rsid w:val="006E2555"/>
    <w:rsid w:val="006E592C"/>
    <w:rsid w:val="00745F70"/>
    <w:rsid w:val="00771DE7"/>
    <w:rsid w:val="00775C53"/>
    <w:rsid w:val="00775E3F"/>
    <w:rsid w:val="00777471"/>
    <w:rsid w:val="00780609"/>
    <w:rsid w:val="007F7DE9"/>
    <w:rsid w:val="00807272"/>
    <w:rsid w:val="00823B92"/>
    <w:rsid w:val="0083423D"/>
    <w:rsid w:val="008352D0"/>
    <w:rsid w:val="00852C24"/>
    <w:rsid w:val="008B15DC"/>
    <w:rsid w:val="008C4DB5"/>
    <w:rsid w:val="008D37AE"/>
    <w:rsid w:val="008D53B4"/>
    <w:rsid w:val="008D7F5C"/>
    <w:rsid w:val="008F340A"/>
    <w:rsid w:val="00902AF3"/>
    <w:rsid w:val="0093131E"/>
    <w:rsid w:val="0096188D"/>
    <w:rsid w:val="00963CF5"/>
    <w:rsid w:val="00966C74"/>
    <w:rsid w:val="00985C94"/>
    <w:rsid w:val="009937E7"/>
    <w:rsid w:val="00996F5F"/>
    <w:rsid w:val="009A6FAD"/>
    <w:rsid w:val="009C116E"/>
    <w:rsid w:val="009C1B5C"/>
    <w:rsid w:val="009E6125"/>
    <w:rsid w:val="009F07AC"/>
    <w:rsid w:val="009F2DD2"/>
    <w:rsid w:val="00A11415"/>
    <w:rsid w:val="00A24A65"/>
    <w:rsid w:val="00A426CB"/>
    <w:rsid w:val="00A877ED"/>
    <w:rsid w:val="00AA3FCA"/>
    <w:rsid w:val="00AB6B32"/>
    <w:rsid w:val="00AC4ECF"/>
    <w:rsid w:val="00AD0ED1"/>
    <w:rsid w:val="00AE1B19"/>
    <w:rsid w:val="00AE73F5"/>
    <w:rsid w:val="00B01504"/>
    <w:rsid w:val="00B02B60"/>
    <w:rsid w:val="00B24E4E"/>
    <w:rsid w:val="00B362F3"/>
    <w:rsid w:val="00B66CBE"/>
    <w:rsid w:val="00B829F7"/>
    <w:rsid w:val="00BA5652"/>
    <w:rsid w:val="00BA5C19"/>
    <w:rsid w:val="00BB6BC0"/>
    <w:rsid w:val="00BD033B"/>
    <w:rsid w:val="00BD5CC2"/>
    <w:rsid w:val="00C162AB"/>
    <w:rsid w:val="00C27234"/>
    <w:rsid w:val="00C303EF"/>
    <w:rsid w:val="00C322A4"/>
    <w:rsid w:val="00C404C6"/>
    <w:rsid w:val="00C42802"/>
    <w:rsid w:val="00C70540"/>
    <w:rsid w:val="00CA574E"/>
    <w:rsid w:val="00CD05D6"/>
    <w:rsid w:val="00CE472F"/>
    <w:rsid w:val="00CF6160"/>
    <w:rsid w:val="00D011A0"/>
    <w:rsid w:val="00D2762E"/>
    <w:rsid w:val="00D36015"/>
    <w:rsid w:val="00D47F4A"/>
    <w:rsid w:val="00D60FD1"/>
    <w:rsid w:val="00DC33D1"/>
    <w:rsid w:val="00DD630C"/>
    <w:rsid w:val="00DE414C"/>
    <w:rsid w:val="00E21BBF"/>
    <w:rsid w:val="00E23C51"/>
    <w:rsid w:val="00E24C0F"/>
    <w:rsid w:val="00E2690A"/>
    <w:rsid w:val="00E42CE6"/>
    <w:rsid w:val="00E519E6"/>
    <w:rsid w:val="00E74D7D"/>
    <w:rsid w:val="00E95479"/>
    <w:rsid w:val="00EA1AAF"/>
    <w:rsid w:val="00EB654D"/>
    <w:rsid w:val="00EE67C2"/>
    <w:rsid w:val="00F07B9C"/>
    <w:rsid w:val="00F10473"/>
    <w:rsid w:val="00F20D86"/>
    <w:rsid w:val="00F227CC"/>
    <w:rsid w:val="00F228F8"/>
    <w:rsid w:val="00F50A57"/>
    <w:rsid w:val="00F94DBE"/>
    <w:rsid w:val="00FB7A47"/>
    <w:rsid w:val="00FD1D72"/>
    <w:rsid w:val="00FD3F90"/>
    <w:rsid w:val="00FE29FA"/>
    <w:rsid w:val="00FF3620"/>
    <w:rsid w:val="01202950"/>
    <w:rsid w:val="01306371"/>
    <w:rsid w:val="014440CD"/>
    <w:rsid w:val="017A62F7"/>
    <w:rsid w:val="01834364"/>
    <w:rsid w:val="024C5440"/>
    <w:rsid w:val="02551A4C"/>
    <w:rsid w:val="02EF0F2A"/>
    <w:rsid w:val="043775D7"/>
    <w:rsid w:val="046760C2"/>
    <w:rsid w:val="0540547F"/>
    <w:rsid w:val="057E71AE"/>
    <w:rsid w:val="06112E25"/>
    <w:rsid w:val="06F507C4"/>
    <w:rsid w:val="072A045C"/>
    <w:rsid w:val="076E06B4"/>
    <w:rsid w:val="092F0897"/>
    <w:rsid w:val="097C780E"/>
    <w:rsid w:val="09E12992"/>
    <w:rsid w:val="0A7B20F7"/>
    <w:rsid w:val="0ACD02D6"/>
    <w:rsid w:val="0B1D5EE7"/>
    <w:rsid w:val="0B7B2CC7"/>
    <w:rsid w:val="0C032DCB"/>
    <w:rsid w:val="0CF97FE6"/>
    <w:rsid w:val="0D5D450B"/>
    <w:rsid w:val="0D9651FA"/>
    <w:rsid w:val="0DE212C5"/>
    <w:rsid w:val="0DEF0A79"/>
    <w:rsid w:val="0E014676"/>
    <w:rsid w:val="0F0A4369"/>
    <w:rsid w:val="0F204823"/>
    <w:rsid w:val="0FF16256"/>
    <w:rsid w:val="10125938"/>
    <w:rsid w:val="104924E5"/>
    <w:rsid w:val="10A02245"/>
    <w:rsid w:val="10F05552"/>
    <w:rsid w:val="112D298C"/>
    <w:rsid w:val="115525EB"/>
    <w:rsid w:val="117C3693"/>
    <w:rsid w:val="1193424B"/>
    <w:rsid w:val="11FC6AE2"/>
    <w:rsid w:val="12125D29"/>
    <w:rsid w:val="12AA0439"/>
    <w:rsid w:val="144E11D1"/>
    <w:rsid w:val="148A0E86"/>
    <w:rsid w:val="160D04F4"/>
    <w:rsid w:val="17562597"/>
    <w:rsid w:val="18225C09"/>
    <w:rsid w:val="18452B35"/>
    <w:rsid w:val="18696710"/>
    <w:rsid w:val="187652D4"/>
    <w:rsid w:val="18A054F3"/>
    <w:rsid w:val="19A03292"/>
    <w:rsid w:val="19C313EA"/>
    <w:rsid w:val="19D914FB"/>
    <w:rsid w:val="1A522904"/>
    <w:rsid w:val="1A8D4311"/>
    <w:rsid w:val="1AD1692F"/>
    <w:rsid w:val="1C09599D"/>
    <w:rsid w:val="1C815B43"/>
    <w:rsid w:val="1CF926A8"/>
    <w:rsid w:val="1D2119D5"/>
    <w:rsid w:val="1D462931"/>
    <w:rsid w:val="1D9278DC"/>
    <w:rsid w:val="1DF5121F"/>
    <w:rsid w:val="1E7E0D4D"/>
    <w:rsid w:val="1FAB0490"/>
    <w:rsid w:val="20695F6F"/>
    <w:rsid w:val="209F755E"/>
    <w:rsid w:val="21156AB8"/>
    <w:rsid w:val="212A0106"/>
    <w:rsid w:val="2194419D"/>
    <w:rsid w:val="220B2A46"/>
    <w:rsid w:val="23132B2D"/>
    <w:rsid w:val="233D4BB2"/>
    <w:rsid w:val="23490799"/>
    <w:rsid w:val="23554A22"/>
    <w:rsid w:val="236207AB"/>
    <w:rsid w:val="23E836E7"/>
    <w:rsid w:val="23FE2A0A"/>
    <w:rsid w:val="24375E48"/>
    <w:rsid w:val="24EB5131"/>
    <w:rsid w:val="2576083F"/>
    <w:rsid w:val="259526FA"/>
    <w:rsid w:val="26081B3D"/>
    <w:rsid w:val="264617A9"/>
    <w:rsid w:val="264834DB"/>
    <w:rsid w:val="272A0806"/>
    <w:rsid w:val="280E5311"/>
    <w:rsid w:val="281E074D"/>
    <w:rsid w:val="28455A79"/>
    <w:rsid w:val="285C1A4E"/>
    <w:rsid w:val="28AE70D9"/>
    <w:rsid w:val="292A7622"/>
    <w:rsid w:val="29725D01"/>
    <w:rsid w:val="2A321CC5"/>
    <w:rsid w:val="2A3C7036"/>
    <w:rsid w:val="2AA179F0"/>
    <w:rsid w:val="2B9A6D8F"/>
    <w:rsid w:val="2C5B71F9"/>
    <w:rsid w:val="2C6231CA"/>
    <w:rsid w:val="2CBD0A5F"/>
    <w:rsid w:val="2CBD62BA"/>
    <w:rsid w:val="2DF524AB"/>
    <w:rsid w:val="2F334E36"/>
    <w:rsid w:val="300D6749"/>
    <w:rsid w:val="301029DB"/>
    <w:rsid w:val="30537D6D"/>
    <w:rsid w:val="319132C1"/>
    <w:rsid w:val="321313C3"/>
    <w:rsid w:val="326E4C16"/>
    <w:rsid w:val="33B5684E"/>
    <w:rsid w:val="33D00843"/>
    <w:rsid w:val="34476D80"/>
    <w:rsid w:val="35653823"/>
    <w:rsid w:val="35A07578"/>
    <w:rsid w:val="360E5E07"/>
    <w:rsid w:val="361D61D1"/>
    <w:rsid w:val="36300AB0"/>
    <w:rsid w:val="363C1517"/>
    <w:rsid w:val="368A07AD"/>
    <w:rsid w:val="36A46055"/>
    <w:rsid w:val="36F92AF5"/>
    <w:rsid w:val="375765FF"/>
    <w:rsid w:val="37E76B31"/>
    <w:rsid w:val="38845300"/>
    <w:rsid w:val="38D25346"/>
    <w:rsid w:val="390E0A9B"/>
    <w:rsid w:val="39186C34"/>
    <w:rsid w:val="39547DA9"/>
    <w:rsid w:val="3AA553ED"/>
    <w:rsid w:val="3ABC2432"/>
    <w:rsid w:val="3ACB40E6"/>
    <w:rsid w:val="3AFE6B1D"/>
    <w:rsid w:val="3B753596"/>
    <w:rsid w:val="3BC4171B"/>
    <w:rsid w:val="3BD01BE2"/>
    <w:rsid w:val="3D472EBE"/>
    <w:rsid w:val="3D9E4A95"/>
    <w:rsid w:val="3DA4566D"/>
    <w:rsid w:val="3DBC7D19"/>
    <w:rsid w:val="3DF1167A"/>
    <w:rsid w:val="3F6C6F8F"/>
    <w:rsid w:val="3FFD71DA"/>
    <w:rsid w:val="404D785D"/>
    <w:rsid w:val="40A401B9"/>
    <w:rsid w:val="40B17083"/>
    <w:rsid w:val="412E2036"/>
    <w:rsid w:val="41B928B2"/>
    <w:rsid w:val="41BA32D6"/>
    <w:rsid w:val="421159FF"/>
    <w:rsid w:val="42FE4937"/>
    <w:rsid w:val="439E59A4"/>
    <w:rsid w:val="46A37992"/>
    <w:rsid w:val="47E813C4"/>
    <w:rsid w:val="4851684D"/>
    <w:rsid w:val="48F76FE1"/>
    <w:rsid w:val="4A75477F"/>
    <w:rsid w:val="4B2A29D1"/>
    <w:rsid w:val="4B6A520A"/>
    <w:rsid w:val="4BE75566"/>
    <w:rsid w:val="4C8D613B"/>
    <w:rsid w:val="4DE84EF4"/>
    <w:rsid w:val="4E3903A3"/>
    <w:rsid w:val="4EE51C0A"/>
    <w:rsid w:val="4F126A70"/>
    <w:rsid w:val="4F802B91"/>
    <w:rsid w:val="50774EAC"/>
    <w:rsid w:val="50D3079C"/>
    <w:rsid w:val="50E85370"/>
    <w:rsid w:val="51395035"/>
    <w:rsid w:val="51B4536A"/>
    <w:rsid w:val="520C15CD"/>
    <w:rsid w:val="53320CF5"/>
    <w:rsid w:val="53621D83"/>
    <w:rsid w:val="53872768"/>
    <w:rsid w:val="53A72DBD"/>
    <w:rsid w:val="53F607D8"/>
    <w:rsid w:val="54064B93"/>
    <w:rsid w:val="54BB397D"/>
    <w:rsid w:val="5616078F"/>
    <w:rsid w:val="561A6437"/>
    <w:rsid w:val="570D5EF8"/>
    <w:rsid w:val="587C475B"/>
    <w:rsid w:val="596B4AEC"/>
    <w:rsid w:val="59E95295"/>
    <w:rsid w:val="5A0A1AFE"/>
    <w:rsid w:val="5B8A1165"/>
    <w:rsid w:val="5C073023"/>
    <w:rsid w:val="5C766D8A"/>
    <w:rsid w:val="5D936A77"/>
    <w:rsid w:val="5DB2057B"/>
    <w:rsid w:val="60876DEB"/>
    <w:rsid w:val="60967DFB"/>
    <w:rsid w:val="60B960B2"/>
    <w:rsid w:val="62887AAB"/>
    <w:rsid w:val="62E80C6B"/>
    <w:rsid w:val="631C3894"/>
    <w:rsid w:val="638D6F8F"/>
    <w:rsid w:val="63A25D44"/>
    <w:rsid w:val="63B6625E"/>
    <w:rsid w:val="64024ED8"/>
    <w:rsid w:val="647A7CE8"/>
    <w:rsid w:val="64B8361E"/>
    <w:rsid w:val="656C2518"/>
    <w:rsid w:val="65A2426D"/>
    <w:rsid w:val="65B30C9A"/>
    <w:rsid w:val="67795BFD"/>
    <w:rsid w:val="679C5346"/>
    <w:rsid w:val="67A3663F"/>
    <w:rsid w:val="680232A8"/>
    <w:rsid w:val="68322152"/>
    <w:rsid w:val="683C2B1E"/>
    <w:rsid w:val="68E22D72"/>
    <w:rsid w:val="695D72C3"/>
    <w:rsid w:val="6A081585"/>
    <w:rsid w:val="6A2F4B6C"/>
    <w:rsid w:val="6A8028EE"/>
    <w:rsid w:val="6AB50B2D"/>
    <w:rsid w:val="6B7B5C0F"/>
    <w:rsid w:val="6BE42D21"/>
    <w:rsid w:val="6CA1091F"/>
    <w:rsid w:val="6D02468B"/>
    <w:rsid w:val="6D6005C1"/>
    <w:rsid w:val="6DAD1B26"/>
    <w:rsid w:val="6E7C42A2"/>
    <w:rsid w:val="6EA67B0F"/>
    <w:rsid w:val="6ED51370"/>
    <w:rsid w:val="6FD30F6C"/>
    <w:rsid w:val="6FF74124"/>
    <w:rsid w:val="70B02C58"/>
    <w:rsid w:val="70F15EEB"/>
    <w:rsid w:val="71206742"/>
    <w:rsid w:val="716E64E3"/>
    <w:rsid w:val="71725E3C"/>
    <w:rsid w:val="72397198"/>
    <w:rsid w:val="725E337D"/>
    <w:rsid w:val="72AE3A54"/>
    <w:rsid w:val="72D05CE7"/>
    <w:rsid w:val="73B70D3F"/>
    <w:rsid w:val="74841CB0"/>
    <w:rsid w:val="74B815EE"/>
    <w:rsid w:val="74BA28CB"/>
    <w:rsid w:val="750234B6"/>
    <w:rsid w:val="78755B00"/>
    <w:rsid w:val="78A04363"/>
    <w:rsid w:val="79C70B09"/>
    <w:rsid w:val="7A1623E5"/>
    <w:rsid w:val="7AF45571"/>
    <w:rsid w:val="7C274E3C"/>
    <w:rsid w:val="7D6635A2"/>
    <w:rsid w:val="7D675CBA"/>
    <w:rsid w:val="7E936395"/>
    <w:rsid w:val="7EC51B6F"/>
    <w:rsid w:val="7FD9750B"/>
    <w:rsid w:val="7FF47833"/>
    <w:rsid w:val="7F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ADFAB4"/>
  <w15:docId w15:val="{AE0F5030-5D1F-4228-A505-676B42DB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B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F72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F7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F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2F729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729C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2F729C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F729C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F729C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0A57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F50A57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F50A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A5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50A57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rsid w:val="00807272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F2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szqx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AA100-0396-4144-BA86-C8D4673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Cedric Hsu</cp:lastModifiedBy>
  <cp:revision>15</cp:revision>
  <cp:lastPrinted>2019-10-17T02:41:00Z</cp:lastPrinted>
  <dcterms:created xsi:type="dcterms:W3CDTF">2019-09-18T03:00:00Z</dcterms:created>
  <dcterms:modified xsi:type="dcterms:W3CDTF">2019-10-17T03:25:00Z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